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ed442f29dd8a4e16"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MOVILA LUI BURCEL VASLUI NORD</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în patrimoniul local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EGC1 GAL - Solicitantul trebuiesă se încadreze în categoriabeneficiarilor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Categoriile de solicitanţi eligibili</w:t>
            </w:r>
            <w:r>
              <w:rPr>
                <w:rFonts w:ascii="Cambria" w:hAnsi="Cambria"/>
                <w:b w:val="false"/>
                <w:sz w:val="24"/>
              </w:rPr>
              <w:t>  sunt:-Autorități publice locale-Asociații de Dezvoltare Intercomunitară-Asociaţii şi fundaţii</w:t>
            </w:r>
            <w:r>
              <w:rPr>
                <w:rFonts w:ascii="Cambria Bold" w:hAnsi="Cambria Bold"/>
                <w:b/>
                <w:sz w:val="24"/>
              </w:rPr>
              <w:t>Documente verificate:</w:t>
            </w:r>
            <w:r>
              <w:rPr>
                <w:rFonts w:ascii="Cambria" w:hAnsi="Cambria"/>
                <w:b w:val="false"/>
                <w:sz w:val="24"/>
              </w:rPr>
              <w:t>- Documentația tehnică a proiectului, Cererea de Finanțare- Copia actului de identitate pentru reprezentantul legal de proiect- Certificat de identificare fiscală /- Actul de înființare și statutul ADI /- Actul de ı̂nfiinţare şi statutul, ı̂ncheiere privind ı̂nscrierea ı̂n registrulasociaţiilor şi fundaţiilor, rămasă definitivă/ Certificat de ı̂nregistrare ı̂n registrul asociaţiilor şi fundaţiilor- Actele doveditoare ale sediului și punctelor de lucru (dacă există) pe teritoriul GAL Movila lui Burcel Vaslui Nord, ı̂n oricare din localităţile componente (pentru asociații și fundații)- Se verifică ı̂nsuşirea obligațiilor și angajamentelor menționate ı̂nDeclaraţia F</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EGC2 GAL -Investiția serealizează în teritoriul LEADER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   Se verifică dacă investiția se realizează ı̂n teritoriul LEADER GAL Movila lui Burcel Vaslui Nord format din 16 comune, respectiv satelecomponente ale acestora: Bălteni, Boțești, Cozmești, Ferești, Miclești,Muntenii de Sus, Oșești, Rafaila, Solești, Ștefan cel Mare, Tanacu,Tătărăni, Todirești, Văleni, Vulturești, Zăpodeni.   Se verifică secțiunea din cadrul cererii de finanțare – Amplasareaproiectului – localitate din teritoriul GAL Movila lui Burcel Vaslui Nord.   În proiectele de investiții și mixte, se va verifica și în SF / MJ / DALI și în Certificatul de Urbanism / Autorizația de construire (dacă proiectul impune) dacă investiția se realizează la nivel de comună / asociațiile acestora ı̂nființate conform legislației naționale ı̂n vigoare, respectiv în satele componente ale acesteia/acestora.Solicitantul trebuie să facă dovada proprietății / administrării terenului / bunului pe care se realizează investiția:- Inventarul bunurilor ce aparţin domeniului public al comunei / comunelor, ı̂ntocmit conform legislaţiei ı̂n vigoare privind proprietatea publică şi regimul juridic al acesteia, atestat prin Hotărârea Guvernului şi publicat în Monitorul Oficial al României.Şi-Hotărârea Consiliului Local privind aprobarea modificărilor şi/saucompletărilor la inventar ı̂n sensul includerii ı̂n domeniul public a altor bunuri (supusă controlului de legalitate al Prefectului, în condiţiile legii)-Documente doveditoare de către ONG-uri/Unităţi de cult/etc privinddreptul de proprietate /administrare pe o perioadă de 10 ani, asuprabunurilor imobile la care se vor efectua lucrări/dotări, conform cererii de finanţare;- Documente doveditoare a dreptului de proprietate/ administrare pe operioadă de minimum 10 ani asupra bunurilor imobile care fac obiectul realizării investiţiei propuse (pentru solicitanţi cu forme de organizare care nu au fost menţionate).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EGC3 GAL -Solicitantul nutrebuie să fie în insolvență sau înincapacitate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verificate:</w:t>
            </w:r>
          </w:p>
          <w:p>
            <w:pPr>
              <w:pStyle w:val="ListParagraph"/>
              <w:numPr>
                <w:ilvl w:val="0"/>
                <w:numId w:val="2"/>
              </w:numPr>
            </w:pPr>
            <w:r>
              <w:rPr>
                <w:rFonts w:ascii="Cambria" w:hAnsi="Cambria"/>
                <w:b w:val="false"/>
                <w:sz w:val="24"/>
              </w:rPr>
              <w:t>Pentru proiectele de servicii se verifică:</w:t>
            </w:r>
          </w:p>
          <w:p>
            <w:r>
              <w:rPr>
                <w:rFonts w:ascii="Cambria" w:hAnsi="Cambria"/>
                <w:b w:val="false"/>
                <w:sz w:val="24"/>
              </w:rPr>
              <w:t>-Declarația pe propria răspundere a solicitantului privind insolvența sauincapacitatea de plată</w:t>
            </w:r>
          </w:p>
          <w:p>
            <w:pPr>
              <w:pStyle w:val="ListParagraph"/>
              <w:numPr>
                <w:ilvl w:val="0"/>
                <w:numId w:val="3"/>
              </w:numPr>
            </w:pPr>
            <w:r>
              <w:rPr>
                <w:rFonts w:ascii="Cambria" w:hAnsi="Cambria"/>
                <w:b w:val="false"/>
                <w:sz w:val="24"/>
              </w:rPr>
              <w:t>Pentru proiectele de investiții și mixte se verifică:</w:t>
            </w:r>
          </w:p>
          <w:p>
            <w:r>
              <w:rPr>
                <w:rFonts w:ascii="Cambria" w:hAnsi="Cambria"/>
                <w:b w:val="false"/>
                <w:sz w:val="24"/>
              </w:rPr>
              <w:t>-Declarația pe propria răspundere a solicitantului din cererea de finanţare-Bifă ı̂n cadrul secțiunii E1 Lista documentelor anexate proiecteloraferente intervenției DR36LEADER - Certificat care să ateste lipsadatoriilor restante la bugetul local emise de primăriile pe raza cărorasolicitanții au sediul social și punctul de lucru (numai ı̂n cazul ı̂n caresolicitantul este proprietar asupra imobilelor) – obligatoriu pentru toate proiectele, la contractare-Bifă ı̂n cadrul secțiunii E1 Lista documentelor anexate proiecteloraferente intervenției DR36LEADER - Graficul de eșalonare a datoriilor la bugetul consolidat (ı̂n cazul ı̂n care beneficiarul figurează cu datoriirestante fiscale) – dacă proiectul impune, la contractare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EGC4 GAL- Solicitantul seangajează să asigureîntreținerea /mentenanțainvestiției pe o perioadă deminim 3 ani (5 ani pentruproiectele care prevădConstrucții+Montaj), de lafinalizarea ultimei cereri deplată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verificate:</w:t>
            </w:r>
            <w:r>
              <w:rPr>
                <w:rFonts w:ascii="Cambria" w:hAnsi="Cambria"/>
                <w:b w:val="false"/>
                <w:sz w:val="24"/>
              </w:rPr>
              <w:t>    Se verifică asumarea declarației pe propria răspundere privindîntreținerea / mentenanța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EGC5 GAL- Investiția seîncadrează în tipul de sprijinprevăzut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Acțiuni eligibile:</w:t>
            </w:r>
          </w:p>
          <w:p>
            <w:pPr>
              <w:spacing w:line="360" w:lineRule="auto"/>
              <w:ind w:left="0" w:right="0" w:firstLine="493"/>
            </w:pPr>
            <w:r>
              <w:rPr>
                <w:rFonts w:ascii="Cambria" w:hAnsi="Cambria"/>
                <w:b w:val="false"/>
                <w:sz w:val="24"/>
              </w:rPr>
              <w:t>• Înființarea de muzee tematice, de centre de promovare a meșteșugurilor, obiceiurilor, tradițiilor locale</w:t>
            </w:r>
          </w:p>
          <w:p>
            <w:pPr>
              <w:spacing w:line="360" w:lineRule="auto"/>
              <w:ind w:left="0" w:right="0" w:firstLine="493"/>
            </w:pPr>
            <w:r>
              <w:rPr>
                <w:rFonts w:ascii="Cambria" w:hAnsi="Cambria"/>
                <w:b w:val="false"/>
                <w:sz w:val="24"/>
              </w:rPr>
              <w:t>• Renovarea/reabilitarea unor clădiri vechi al căror aspect a fost stricat sau reabilitarea,renovarea, dotarea de spaţii destinate păstrării şi transmiterii de meşteşuguri, tradiţii şi alte tipuri de activităţi tradiţionale</w:t>
            </w:r>
          </w:p>
          <w:p>
            <w:pPr>
              <w:spacing w:line="360" w:lineRule="auto"/>
              <w:ind w:left="0" w:right="0" w:firstLine="493"/>
            </w:pPr>
            <w:r>
              <w:rPr>
                <w:rFonts w:ascii="Cambria" w:hAnsi="Cambria"/>
                <w:b w:val="false"/>
                <w:sz w:val="24"/>
              </w:rPr>
              <w:t>• Modernizarea/extinderea/dotarea și/sau amenajarea obiectivelor culturale și de patrimoniu cultural</w:t>
            </w:r>
          </w:p>
          <w:p>
            <w:pPr>
              <w:spacing w:line="360" w:lineRule="auto"/>
              <w:ind w:left="0" w:right="0" w:firstLine="493"/>
            </w:pPr>
            <w:r>
              <w:rPr>
                <w:rFonts w:ascii="Cambria" w:hAnsi="Cambria"/>
                <w:b w:val="false"/>
                <w:sz w:val="24"/>
              </w:rPr>
              <w:t>• Dotări ale obiectivului de patrimoniu cultural mobil și imobil</w:t>
            </w:r>
          </w:p>
          <w:p>
            <w:pPr>
              <w:spacing w:line="360" w:lineRule="auto"/>
              <w:ind w:left="0" w:right="0" w:firstLine="493"/>
            </w:pPr>
            <w:r>
              <w:rPr>
                <w:rFonts w:ascii="Cambria" w:hAnsi="Cambria"/>
                <w:b w:val="false"/>
                <w:sz w:val="24"/>
              </w:rPr>
              <w:t>• Construcția utilităților anexe (marcaje, puncte de informare, reclame și indicatoare)</w:t>
            </w:r>
          </w:p>
          <w:p>
            <w:pPr>
              <w:spacing w:line="360" w:lineRule="auto"/>
              <w:ind w:left="0" w:right="0" w:firstLine="493"/>
            </w:pPr>
            <w:r>
              <w:rPr>
                <w:rFonts w:ascii="Cambria" w:hAnsi="Cambria"/>
                <w:b w:val="false"/>
                <w:sz w:val="24"/>
              </w:rPr>
              <w:t>• Investiții pentru activități meșteșugărești (activități de artizanat și alte activități tradiționale neagricole – olărit, brodat, prelucrare manuală a fierului, lânii, lemnului, pielii, etc)</w:t>
            </w:r>
          </w:p>
          <w:p>
            <w:pPr>
              <w:spacing w:line="360" w:lineRule="auto"/>
              <w:ind w:left="0" w:right="0" w:firstLine="493"/>
            </w:pPr>
            <w:r>
              <w:rPr>
                <w:rFonts w:ascii="Cambria" w:hAnsi="Cambria"/>
                <w:b w:val="false"/>
                <w:sz w:val="24"/>
              </w:rPr>
              <w:t>• Achiziție costume populare, instrumente muzicale, microbuz ansambluri și grupuri folclorice </w:t>
            </w:r>
          </w:p>
          <w:p>
            <w:pPr>
              <w:spacing w:line="360" w:lineRule="auto"/>
              <w:ind w:left="0" w:right="0" w:firstLine="493"/>
            </w:pPr>
            <w:r>
              <w:rPr>
                <w:rFonts w:ascii="Cambria" w:hAnsi="Cambria"/>
                <w:b w:val="false"/>
                <w:sz w:val="24"/>
              </w:rPr>
              <w:t>• Achiziționarea unor echipamente și obiecte necesare pentru desfășurarea activităților (standuri, scene mobile, stații de sonorizare și amplificare, etc.)</w:t>
            </w:r>
          </w:p>
          <w:p>
            <w:pPr>
              <w:spacing w:line="360" w:lineRule="auto"/>
              <w:ind w:left="0" w:right="0" w:firstLine="493"/>
            </w:pPr>
            <w:r>
              <w:rPr>
                <w:rFonts w:ascii="Cambria" w:hAnsi="Cambria"/>
                <w:b w:val="false"/>
                <w:sz w:val="24"/>
              </w:rPr>
              <w:t>• Activități de marketing și promovare turistică a obiectivului cultural</w:t>
            </w:r>
          </w:p>
          <w:p>
            <w:pPr>
              <w:spacing w:line="360" w:lineRule="auto"/>
              <w:ind w:left="0" w:right="0" w:firstLine="493"/>
            </w:pPr>
            <w:r>
              <w:rPr>
                <w:rFonts w:ascii="Cambria" w:hAnsi="Cambria"/>
                <w:b w:val="false"/>
                <w:sz w:val="24"/>
              </w:rPr>
              <w:t>• Studii și publicații privind elementele de patrimoniu local; Înregistrări audio, video pentru promovarea patrimoniului local inclusiv a meșteșugurilor și produselor tradiționale; Site-uri de promovare</w:t>
            </w:r>
          </w:p>
          <w:p>
            <w:pPr>
              <w:spacing w:line="360" w:lineRule="auto"/>
              <w:ind w:left="0" w:right="0" w:firstLine="493"/>
            </w:pPr>
            <w:r>
              <w:rPr>
                <w:rFonts w:ascii="Cambria" w:hAnsi="Cambria"/>
                <w:b w:val="false"/>
                <w:sz w:val="24"/>
              </w:rPr>
              <w:t>• Organizare evenimente culturale, activități promovare tradiții, meșteșuguri</w:t>
            </w:r>
          </w:p>
          <w:p>
            <w:pPr>
              <w:spacing w:line="360" w:lineRule="auto"/>
              <w:ind w:left="0" w:right="0" w:firstLine="493"/>
            </w:pPr>
            <w:r>
              <w:rPr>
                <w:rFonts w:ascii="Cambria" w:hAnsi="Cambria"/>
                <w:b w:val="false"/>
                <w:sz w:val="24"/>
              </w:rPr>
              <w:t>• Sprijinirea proiectelor culturale privind păstrarea şi promovarea culturii minorităților locale</w:t>
            </w:r>
          </w:p>
          <w:p>
            <w:r>
              <w:rPr>
                <w:rFonts w:ascii="Cambria Bold" w:hAnsi="Cambria Bold"/>
                <w:b/>
                <w:sz w:val="24"/>
              </w:rPr>
              <w:t>Documente verificate:</w:t>
            </w:r>
            <w:r>
              <w:rPr>
                <w:rFonts w:ascii="Cambria" w:hAnsi="Cambria"/>
                <w:b w:val="false"/>
                <w:sz w:val="24"/>
              </w:rPr>
              <w:t>Expertul verifică dacă ı̂n cadrul cererii de finanțare, secțiunea A10 pentru proiectele de servicii sau ı̂n cadrul documentației tehnice a proiectului (care poate fi după caz SF/DALI/MJ/CF - secțiunea A6 pentru proiectele de investiții, respectiv proiectele mixte), proiectul/ cheltuielile/ activitățile propus(e) de solicitant se regăsesc ı̂n lista de activități eligibile din cadrul Ghidului Solicitantului de la capitolul „Tipuri de investiții/servicii şi cheltuieli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EGC6 GAL- Investiția trebuie săfie în corelare cu strategia dedezvoltară locală și/saujudețeană aprobată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 Copia hotărârii de aprobare a strategiei și extrasul din strategie, careconfirmă dacă investiția este ı̂n corelare cu orice strategie de dezvoltarejudețeană / locală aprobată, corespunzătoare domeniului de investițiisau- Adresă emisă de GAL Movila lui Burcel care confirmă că investițiapropusă se regăsește în SDL 2023-2027 a GAL și extrasul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w:t>
            </w:r>
          </w:p>
        </w:tc>
        <w:tc>
          <w:tcPr>
            <w:vAlign w:val="center"/>
          </w:tcPr>
          <w:p>
            <w:r>
              <w:rPr>
                <w:rFonts w:ascii="Cambria Bold" w:hAnsi="Cambria Bold"/>
                <w:b/>
                <w:color w:val="1B4167"/>
                <w:sz w:val="24"/>
              </w:rPr>
              <w:t>EGS7 GAL- Investiția trebuiesă respecte PlanulUrbanistic General, dacăproiectul impune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verificate:Dacă proiectul impune, se verifică prezentarea:- Certificatului de Urbanism eliberat ı̂n temeiul reglementărilor Documentaţiei de urbanism faza PUG    SAU- Certificatului de Urbanism eliberat ı̂n temeiul reglementărilorDocumentaţiei de urbanism faza PUZ.      Expertul verifică ı̂n baza informaţiilor din Certificatului de Urbanism,valabil la data depunerii Cererii de Finanțare, dacă investiţia respectăPlanul Urbanistic General.   Expertul verifică dacă:-investiția respectă toate specificațiile din Certificatul de Urbanismeliberat ı̂n temeiul reglementarilor Documentației de urbanism faza PUGsau-ı̂n situația ı̂n care investiția propusă prin proiect nu se regăsește ı̂n PUG, solicitantul va depune Certificatul de Urbanism eliberat ı̂n temeiul reglementarilor Documentației de urbanism faza PUZ.  Dacă verificarea documentelor confirmă faptul că investiția respectăPlanul Urbanistic General, expertul bifează căsuţa din coloana DA din Fişa de verificare. În caz contrar, expertul bifează căsuţa din coloana NU şi motivează poziţia lui ı̂n rubrica „Observaţii” din Fişa de evaluare generală a proiectului, proiectul fiind neeligibil.  Dacă proiectul nu impune prezentarea unui Certificat de urbanism, expertul bifează căsuţa din coloana DA din fişa de verificare.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EGS8 GAL - Solicitantul trebuie să demonstreze că activitățile prevăzute în proiect sunt în beneficiul teritoriului GAL și contribuie la următoarele: punerea în valoarea a patrimoniului local, consolidarea identității locale, creșterea atractivității zonei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verificate:</w:t>
            </w:r>
            <w:r>
              <w:rPr>
                <w:rFonts w:ascii="Cambria" w:hAnsi="Cambria"/>
                <w:b w:val="false"/>
                <w:sz w:val="24"/>
              </w:rPr>
              <w:t>Expertul verifică dacă ı̂n cadrul cererii de finanțare, secțiunea A10 pentru proiectele de servicii sau ı̂n cadrul documentației tehnice a proiectului (care poate fi după caz SF/DALI/MJ/CF - secțiunea A6 pentru proiectele de investiții, respectiv proiectele mixte), solicitantul a prezentat modul în care investiția/serviciul propusă sprijină consolidarea identității locale, pune în valoare patrimoniul local și crește atractivitatea zonei.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w:t>
            </w:r>
          </w:p>
        </w:tc>
        <w:tc>
          <w:tcPr>
            <w:vAlign w:val="center"/>
          </w:tcPr>
          <w:p>
            <w:r>
              <w:rPr>
                <w:rFonts w:ascii="Cambria Bold" w:hAnsi="Cambria Bold"/>
                <w:b/>
                <w:color w:val="1B4167"/>
                <w:sz w:val="24"/>
              </w:rPr>
              <w:t>EGS9 GAL- Solicitantul prezintătoate avizele/autorizațiilenecesare demarării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w:t>
            </w:r>
          </w:p>
          <w:p>
            <w:pPr>
              <w:pStyle w:val="ListParagraph"/>
              <w:numPr>
                <w:ilvl w:val="0"/>
                <w:numId w:val="2"/>
              </w:numPr>
            </w:pPr>
            <w:r>
              <w:rPr>
                <w:rFonts w:ascii="Cambria Bold" w:hAnsi="Cambria Bold"/>
                <w:b/>
                <w:sz w:val="24"/>
              </w:rPr>
              <w:t>Pentru proiectele de servicii:</w:t>
            </w:r>
          </w:p>
          <w:p>
            <w:r>
              <w:rPr>
                <w:rFonts w:ascii="Cambria" w:hAnsi="Cambria"/>
                <w:b w:val="false"/>
                <w:sz w:val="24"/>
              </w:rPr>
              <w:t>-Acordul administratorului / custodelui pentru ariile naturale protejate – dacă este cazul, adică activitatea propusă prin proiect se desfaşoară ı̂ntr-o arie naturală protejată-În funcție de specificul activității, prezentarea altor documente, dacă este cazulExepertul verifică, </w:t>
            </w:r>
            <w:r>
              <w:rPr>
                <w:rFonts w:ascii="Cambria Bold" w:hAnsi="Cambria Bold"/>
                <w:b/>
                <w:sz w:val="24"/>
              </w:rPr>
              <w:t>dacă proiectul impune</w:t>
            </w:r>
            <w:r>
              <w:rPr>
                <w:rFonts w:ascii="Cambria" w:hAnsi="Cambria"/>
                <w:b w:val="false"/>
                <w:sz w:val="24"/>
              </w:rPr>
              <w:t>, dacă solicitantul a prezentat documentele:Doc 13.1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cazulsauDoc 13.2 Documentul pentru obiectivele de patrimoniu neclasificate: Certificat emis de Institutul Național al Patrimoniului (INP) - pentru obiectivele de patrimoniu neclasificate în conformitate cu protocolul de colaborare încheiat între Institutul Național al Patrimoniului, AFIR și DGDR- AM care să confirme faptul că obiectivul propus spre finanțare face parte din patrimoniul cultural de interes local și că prin măsurile propuse se asigură respectarea/păstrarea autenticității cultural locale - document anexat de solicitant la cererea de finanțare.Doc. 14.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pPr>
              <w:pStyle w:val="ListParagraph"/>
              <w:numPr>
                <w:ilvl w:val="0"/>
                <w:numId w:val="4"/>
              </w:numPr>
            </w:pPr>
            <w:r>
              <w:rPr>
                <w:rFonts w:ascii="Cambria" w:hAnsi="Cambria"/>
                <w:b w:val="false"/>
                <w:sz w:val="24"/>
              </w:rPr>
              <w:t>Pentru </w:t>
            </w:r>
            <w:r>
              <w:rPr>
                <w:rFonts w:ascii="Cambria Bold" w:hAnsi="Cambria Bold"/>
                <w:b/>
                <w:sz w:val="24"/>
              </w:rPr>
              <w:t>proiectele de investiții care vizează modernizări:</w:t>
            </w:r>
          </w:p>
          <w:p>
            <w:r>
              <w:rPr>
                <w:rFonts w:ascii="Cambria" w:hAnsi="Cambria"/>
                <w:b w:val="false"/>
                <w:sz w:val="24"/>
              </w:rPr>
              <w:t>Acest criteriu este verificat în 3 etape:a) la momentul depunerii Cererii de finanțare - prezentarea documentelor care atestă funcționarea obiectivelor existente şi functionalitatea conform legislației naționale: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În cazul în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aplicabile.b) la momentul primei tranșe de plată - prezentarea actelor de reglementare necesare implementării proiectului, emise de către instituțiile mai sus menționate (asumate prin declarația F din Cererea de finanțare). Din perspectiva legislației privind mediul, beneficiarul va prezenta la prima tranșă Clasarea notificării, Decizia etapei de încadrare ca document final sau Acordul de mediu.c) la ultima cerere de plată - vor fi prezentate documentele care atestăautorizarea obiectivului de investiții realizat prin proiect din punct de vedere al normelor de mediu, sanitar-veterinar și de sănătate publică, după caz.</w:t>
            </w:r>
          </w:p>
          <w:p>
            <w:pPr>
              <w:pStyle w:val="ListParagraph"/>
              <w:numPr>
                <w:ilvl w:val="0"/>
                <w:numId w:val="5"/>
              </w:numPr>
            </w:pPr>
            <w:r>
              <w:rPr>
                <w:rFonts w:ascii="Cambria" w:hAnsi="Cambria"/>
                <w:b w:val="false"/>
                <w:sz w:val="24"/>
              </w:rPr>
              <w:t>Pentru proiecte care propun investiții noi:</w:t>
            </w:r>
          </w:p>
          <w:p>
            <w:r>
              <w:rPr>
                <w:rFonts w:ascii="Cambria" w:hAnsi="Cambria"/>
                <w:b w:val="false"/>
                <w:sz w:val="24"/>
              </w:rPr>
              <w:t>Acest criteriu este verificat în 3 etape:a) la depunerea Cererii de finanțare - în cazul în care solicitantul nu deține avizele/actele de reglementare necesare implementării proiectului, emise de DSP, DSVSA, Autoritatea competentă de mediu (Clasarea notificării/ Decizia etapei de încadrare, ca document final/Acord de mediu), după caz, criteriul se consideră îndeplinit în etapa de evaluare, prin verificarea însuşirii Declaraţiei F din Cererea de finanțare. În această situație expertul va specifica la rubrica Observații că beneficiarul va trebui să depună documentele de la instituțiile menționate mai sus, după caz, la depunerea primei tranșe de plată, fără a se depăși termenul maxim prevăzut în contractul de finanțare.b) la momentul primei tranșe de plată – prezentarea avizelor/actelor de reglementare necesare implementării proiectului, emise de DSP, DSVSA, Autoritatea competentă de mediu (Clasarea notificării/ Decizia etapei de încadrare, ca document final/Acord de mediu), după caz.c) la ultima cerere de plată - vor fi prezentate documentele care atestă autorizarea obiectivului de investiții realizat prin proiect din punct de vedere al normelor de mediu, sanitar-veterinar și de sănătate publică sau a altor autorități de supervizare a activității, după caz.</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gradului de deservire a populației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Proiecte care deservesc sub 2000 de locuitori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 de finanțare completată și semnată electronic de reprezentantul legal al solicitantului</w:t>
            </w:r>
          </w:p>
          <w:p>
            <w:pPr>
              <w:pStyle w:val="ListParagraph"/>
              <w:numPr>
                <w:ilvl w:val="0"/>
                <w:numId w:val="2"/>
              </w:numPr>
            </w:pPr>
            <w:r>
              <w:rPr>
                <w:rFonts w:ascii="Cambria" w:hAnsi="Cambria"/>
                <w:b w:val="false"/>
                <w:sz w:val="24"/>
              </w:rPr>
              <w:t>Documentația tehnică a proiectului (care poate fi după caz SF/DALI/MJ/CF - secțiunea A6 sau secțiunea A10)</w:t>
            </w:r>
          </w:p>
          <w:p>
            <w:pPr>
              <w:pStyle w:val="ListParagraph"/>
              <w:numPr>
                <w:ilvl w:val="0"/>
                <w:numId w:val="2"/>
              </w:numPr>
            </w:pPr>
            <w:r>
              <w:rPr>
                <w:rFonts w:ascii="Cambria" w:hAnsi="Cambria"/>
                <w:b w:val="false"/>
                <w:sz w:val="24"/>
              </w:rPr>
              <w:t>Hotărârea Consiliului Local/Hotărârea Adunării Generale</w:t>
            </w:r>
          </w:p>
          <w:p>
            <w:pPr>
              <w:pStyle w:val="ListParagraph"/>
              <w:numPr>
                <w:ilvl w:val="0"/>
                <w:numId w:val="2"/>
              </w:numPr>
            </w:pPr>
            <w:r>
              <w:rPr>
                <w:rFonts w:ascii="Cambria" w:hAnsi="Cambria"/>
                <w:b w:val="false"/>
                <w:sz w:val="24"/>
              </w:rPr>
              <w:t>SDL/Anexa privind numărul de locuitori</w:t>
            </w:r>
          </w:p>
          <w:p>
            <w:r>
              <w:rPr>
                <w:rFonts w:ascii="Cambria Bold" w:hAnsi="Cambria Bold"/>
                <w:b/>
                <w:sz w:val="24"/>
              </w:rPr>
              <w:t>Documente verificate:</w:t>
            </w:r>
            <w:r>
              <w:rPr>
                <w:rFonts w:ascii="Cambria" w:hAnsi="Cambria"/>
                <w:b w:val="false"/>
                <w:sz w:val="24"/>
              </w:rPr>
              <w:t>Se va verifica ı̂n cadrul Cererii de Finanțare și ı̂n cadrul documentației tehnice a proiectului localitatea / localitățile de implementare ale proiectului. Se verifică numărul de locuitori aferenti̦ localității/localităților ı̂n care se implementează proiectul, plecând de la datele din SDL de la secțiunea Componența teritorială sau Anexa privind numărul de locuitori și se acordă punctajul corespunzător.În cazul proiectelor care deservesc mai multe comune, se însumează populația totală a acestora.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Proiecte care deservesc peste 2000 de locuitori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 de finanțare completată și semnată electronic de reprezentantul legal al solicitantului</w:t>
            </w:r>
          </w:p>
          <w:p>
            <w:pPr>
              <w:pStyle w:val="ListParagraph"/>
              <w:numPr>
                <w:ilvl w:val="0"/>
                <w:numId w:val="2"/>
              </w:numPr>
            </w:pPr>
            <w:r>
              <w:rPr>
                <w:rFonts w:ascii="Cambria" w:hAnsi="Cambria"/>
                <w:b w:val="false"/>
                <w:sz w:val="24"/>
              </w:rPr>
              <w:t>Documentația tehnică a proiectului (care poate fi după caz SF/DALI/MJ/CF - secțiunea A6 sau secțiunea A10)</w:t>
            </w:r>
          </w:p>
          <w:p>
            <w:pPr>
              <w:pStyle w:val="ListParagraph"/>
              <w:numPr>
                <w:ilvl w:val="0"/>
                <w:numId w:val="2"/>
              </w:numPr>
            </w:pPr>
            <w:r>
              <w:rPr>
                <w:rFonts w:ascii="Cambria" w:hAnsi="Cambria"/>
                <w:b w:val="false"/>
                <w:sz w:val="24"/>
              </w:rPr>
              <w:t>Hotărârea Consiliului Local/Hotărârea Adunării Generale</w:t>
            </w:r>
          </w:p>
          <w:p>
            <w:pPr>
              <w:pStyle w:val="ListParagraph"/>
              <w:numPr>
                <w:ilvl w:val="0"/>
                <w:numId w:val="2"/>
              </w:numPr>
            </w:pPr>
            <w:r>
              <w:rPr>
                <w:rFonts w:ascii="Cambria" w:hAnsi="Cambria"/>
                <w:b w:val="false"/>
                <w:sz w:val="24"/>
              </w:rPr>
              <w:t>SDL/Anexa privind numărul de locuitori</w:t>
            </w:r>
          </w:p>
          <w:p>
            <w:r>
              <w:rPr>
                <w:rFonts w:ascii="Cambria Bold" w:hAnsi="Cambria Bold"/>
                <w:b/>
                <w:sz w:val="24"/>
              </w:rPr>
              <w:t>Documente verificate:</w:t>
            </w:r>
            <w:r>
              <w:rPr>
                <w:rFonts w:ascii="Cambria" w:hAnsi="Cambria"/>
                <w:b w:val="false"/>
                <w:sz w:val="24"/>
              </w:rPr>
              <w:t>Se va verifica ı̂n cadrul Cererii de Finanțare și ı̂n cadrul documentației tehnice a proiectului localitatea / localitățile de implementare ale proiectului. Se verifică numărul de locuitori aferenti̦ localității/localităților ı̂n care se implementează proiectul, plecând de la datele din SDL de la secțiunea Componența teritorială sau Anexa privind numărul de locuitori și se acordă punctajul corespunzător.În cazul proiectelor care deservesc mai multe comune, se însumează populația totală a acestora.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realizate în parteneriat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w:t>
            </w:r>
          </w:p>
        </w:tc>
        <w:tc>
          <w:tcPr>
            <w:shd w:val="clear" w:color="auto" w:fill="F8ECD2"/>
            <w:vAlign w:val="center"/>
          </w:tcPr>
          <w:p>
            <w:r>
              <w:rPr>
                <w:rFonts w:ascii="Cambria" w:hAnsi="Cambria"/>
                <w:b w:val="false"/>
                <w:color w:val="58400C"/>
                <w:sz w:val="24"/>
              </w:rPr>
              <w:t>Proiecte realizate în parteneriat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Acordul de parteneriat pentru proiect</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Bold" w:hAnsi="Cambria Bold"/>
                <w:b/>
                <w:sz w:val="24"/>
              </w:rPr>
              <w:t>Verificare:</w:t>
            </w:r>
            <w:r>
              <w:rPr>
                <w:rFonts w:ascii="Cambria" w:hAnsi="Cambria"/>
                <w:b w:val="false"/>
                <w:sz w:val="24"/>
              </w:rPr>
              <w:t>Acordarea punctajului maxim de 10 puncte este condiționată de existența acordului de parteneriat și de detaliereainformațiilor aferente parteneriatului în documentația tehnică a proiectului.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Solicitanți care nu au primit anterior sprijin comunitar pentru o investiție similară</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Solicitanți care nu au primit anterior sprijin comunitar pentru o investiție similară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 punctul referitor la Finanțări nerambursabile solicitate și/sau obținute</w:t>
            </w:r>
          </w:p>
          <w:p>
            <w:pPr>
              <w:pStyle w:val="ListParagraph"/>
              <w:numPr>
                <w:ilvl w:val="0"/>
                <w:numId w:val="2"/>
              </w:numPr>
            </w:pPr>
            <w:r>
              <w:rPr>
                <w:rFonts w:ascii="Cambria" w:hAnsi="Cambria"/>
                <w:b w:val="false"/>
                <w:sz w:val="24"/>
              </w:rPr>
              <w:t>Raport asupra utilizării programelor de Finanţare nerambursabilă întocmit de solicitant, pentru solicitanţii care au mai beneficiat de finanțare nerambursabilă începând cu anul 2002, pentru aceleași tipuri de investiții.</w:t>
            </w:r>
          </w:p>
          <w:p>
            <w:r>
              <w:rPr>
                <w:rFonts w:ascii="Cambria" w:hAnsi="Cambria"/>
                <w:b w:val="false"/>
                <w:sz w:val="24"/>
              </w:rPr>
              <w:t>Expertul verifică informațiile conținute ı̂n cadrul Cererii de Finanta̦re și din cadrul Raportului asupra utilizăriiprogramelor de Finanţare nerambursabilă și în cazul în care NU identifică obținerea unui sprijin comunitar anterior pentru o investiție similară, va acorda 10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valorii culturale în funcție de numărul de activități socio-culturale desfășurate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Istoric anterior solicitant</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pPr>
              <w:spacing w:line="360" w:lineRule="auto"/>
              <w:ind w:left="0" w:right="0" w:firstLine="493"/>
            </w:pPr>
            <w:r>
              <w:rPr>
                <w:rFonts w:ascii="Cambria" w:hAnsi="Cambria"/>
                <w:b w:val="false"/>
                <w:sz w:val="24"/>
              </w:rPr>
              <w:t>Expertul verifică informațiile conținute ı̂n cadrul Cererii de Finanta̦re și ı̂n cadrul documentației tehnice a proiectului și în cazul ı̂n care</w:t>
            </w:r>
            <w:r>
              <w:rPr>
                <w:rFonts w:ascii="Cambria" w:hAnsi="Cambria"/>
                <w:b w:val="false"/>
                <w:sz w:val="24"/>
                <w:lang w:val="en"/>
              </w:rPr>
              <w:t> sunt detaliate acțiuni socio-culturale anterioare depunerii proiectului realizate de solicitant</w:t>
            </w:r>
            <w:r>
              <w:rPr>
                <w:rFonts w:ascii="Cambria" w:hAnsi="Cambria"/>
                <w:b w:val="false"/>
                <w:sz w:val="24"/>
              </w:rPr>
              <w:t>, se vor acorda 20 de puncte.</w:t>
            </w:r>
          </w:p>
          <w:p>
            <w:pPr>
              <w:spacing w:line="360" w:lineRule="auto"/>
              <w:ind w:left="0" w:right="0" w:firstLine="493"/>
            </w:pPr>
            <w:r>
              <w:rPr>
                <w:rFonts w:ascii="Cambria" w:hAnsi="Cambria"/>
                <w:b w:val="false"/>
                <w:sz w:val="24"/>
              </w:rPr>
              <w:t>Criteriul de selecție CS 4.1 se poate cumula cu criteriul de selecție CS 4.2</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4.2</w:t>
            </w:r>
          </w:p>
        </w:tc>
        <w:tc>
          <w:tcPr>
            <w:shd w:val="clear" w:color="auto" w:fill="F8ECD2"/>
            <w:vAlign w:val="center"/>
          </w:tcPr>
          <w:p>
            <w:r>
              <w:rPr>
                <w:rFonts w:ascii="Cambria" w:hAnsi="Cambria"/>
                <w:b w:val="false"/>
                <w:color w:val="58400C"/>
                <w:sz w:val="24"/>
              </w:rPr>
              <w:t>Acțiuni viitoare</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pPr>
              <w:spacing w:line="360" w:lineRule="auto"/>
              <w:ind w:left="0" w:right="0" w:firstLine="493"/>
            </w:pPr>
            <w:r>
              <w:rPr>
                <w:rFonts w:ascii="Cambria" w:hAnsi="Cambria"/>
                <w:b w:val="false"/>
                <w:sz w:val="24"/>
              </w:rPr>
              <w:t>Expertul verifică informațiile conținute ı̂n cadrul Cererii de Finanta̦re și ı̂n cadrul documentației tehnice a proiectului și în cazul ı̂n care  </w:t>
            </w:r>
            <w:r>
              <w:rPr>
                <w:rFonts w:ascii="Cambria" w:hAnsi="Cambria"/>
                <w:b w:val="false"/>
                <w:sz w:val="24"/>
                <w:lang w:val="en"/>
              </w:rPr>
              <w:t>are prevăzute și sunt detaliate acțiuni socio-culturale viitoare</w:t>
            </w:r>
            <w:r>
              <w:rPr>
                <w:rFonts w:ascii="Cambria" w:hAnsi="Cambria"/>
                <w:b w:val="false"/>
                <w:sz w:val="24"/>
              </w:rPr>
              <w:t>, se vor acorda 10 puncte.</w:t>
            </w:r>
          </w:p>
          <w:p>
            <w:pPr>
              <w:spacing w:line="360" w:lineRule="auto"/>
              <w:ind w:left="0" w:right="0" w:firstLine="493"/>
            </w:pPr>
            <w:r>
              <w:rPr>
                <w:rFonts w:ascii="Cambria" w:hAnsi="Cambria"/>
                <w:b w:val="false"/>
                <w:sz w:val="24"/>
              </w:rPr>
              <w:t>Criteriul de selecție CS 4.2 se poate cumula cu criteriul de selecție CS 4.1</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Proiecte care încurajează dezvoltarea agenților economici din zonă și promovarea produselor meșteșugărești locale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Proiectul încurajează dezvoltarea agenților economici din zonă și promovarea produselor meșteșugărești locale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w:hAnsi="Cambria"/>
                <w:b w:val="false"/>
                <w:sz w:val="24"/>
              </w:rPr>
              <w:t>Expertul verifică informațiile conținute ı̂n cadrul Cererii de Finanta̦re și ı̂n cadrul documentației tehnice a proiectului și în cazul ı̂n care  </w:t>
            </w:r>
            <w:r>
              <w:rPr>
                <w:rFonts w:ascii="Cambria" w:hAnsi="Cambria"/>
                <w:b w:val="false"/>
                <w:sz w:val="24"/>
                <w:lang w:val="en"/>
              </w:rPr>
              <w:t>are prevăzute și sunt detaliate acțiunile de dezvoltare ale agenților economici din zonă și promovarea produsele meșteșugărești locale</w:t>
            </w:r>
            <w:r>
              <w:rPr>
                <w:rFonts w:ascii="Cambria" w:hAnsi="Cambria"/>
                <w:b w:val="false"/>
                <w:sz w:val="24"/>
              </w:rPr>
              <w:t>, se vor acorda 15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Proiecte care presupun implicarea grupurilor vulnerabile în implementarea acestora</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w:t>
            </w:r>
          </w:p>
        </w:tc>
        <w:tc>
          <w:tcPr>
            <w:shd w:val="clear" w:color="auto" w:fill="F8ECD2"/>
            <w:vAlign w:val="center"/>
          </w:tcPr>
          <w:p>
            <w:r>
              <w:rPr>
                <w:rFonts w:ascii="Cambria" w:hAnsi="Cambria"/>
                <w:b w:val="false"/>
                <w:color w:val="58400C"/>
                <w:sz w:val="24"/>
              </w:rPr>
              <w:t>Proiectul implică grupuri vulnerabile în implementarea acestuia</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Bold" w:hAnsi="Cambria Bold"/>
                <w:b/>
                <w:sz w:val="24"/>
              </w:rPr>
              <w:t>Verificare:</w:t>
            </w:r>
            <w:r>
              <w:rPr>
                <w:rFonts w:ascii="Cambria" w:hAnsi="Cambria"/>
                <w:b w:val="false"/>
                <w:sz w:val="24"/>
              </w:rPr>
              <w:t>Expertul verifică informațiile conținute ı̂n cadrul Cererii de Finanta̦re și ı̂n cadrul documentației tehnice a proiectului și în cazul ı̂n care identifică  descrierea implicării grupurilor vulnerabile în implementarea proiectului, se vor acorda 5 puncte.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Proiecte care prevăd acțiuni inovative - albume digitale, trasee turistice digitale, hărți digitale, evenimente multiculturale în teritoriu, ateliere de lucru pentru transfer de cunoștințe (între generații, între culturi, etc.)</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7</w:t>
            </w:r>
          </w:p>
        </w:tc>
        <w:tc>
          <w:tcPr>
            <w:shd w:val="clear" w:color="auto" w:fill="F8ECD2"/>
            <w:vAlign w:val="center"/>
          </w:tcPr>
          <w:p>
            <w:r>
              <w:rPr>
                <w:rFonts w:ascii="Cambria" w:hAnsi="Cambria"/>
                <w:b w:val="false"/>
                <w:color w:val="58400C"/>
                <w:sz w:val="24"/>
              </w:rPr>
              <w:t>Proiecte care includ servicii/activități/investiții/ tehnologii/procese inovatoare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w:hAnsi="Cambria"/>
                <w:b w:val="false"/>
                <w:sz w:val="24"/>
              </w:rPr>
              <w:t>Cererea de finanțare completată și semnată electronic de reprezentantul legal al solicitantului</w:t>
            </w:r>
          </w:p>
          <w:p>
            <w:pPr>
              <w:pStyle w:val="ListParagraph"/>
              <w:numPr>
                <w:ilvl w:val="0"/>
                <w:numId w:val="2"/>
              </w:numPr>
            </w:pPr>
            <w:r>
              <w:rPr>
                <w:rFonts w:ascii="Cambria" w:hAnsi="Cambria"/>
                <w:b w:val="false"/>
                <w:sz w:val="24"/>
              </w:rPr>
              <w:t>Documentația tehnică a proiectului (care poate fi după caz pentru proiectele de investiții și mixte: SF/DALI/MJ/CF - secțiunea A6, respectiv secțiunea A10 pentru proiectele de servicii)</w:t>
            </w:r>
          </w:p>
          <w:p>
            <w:r>
              <w:rPr>
                <w:rFonts w:ascii="Cambria Bold" w:hAnsi="Cambria Bold"/>
                <w:b/>
                <w:sz w:val="24"/>
              </w:rPr>
              <w:t>Verificare:</w:t>
            </w:r>
            <w:r>
              <w:rPr>
                <w:rFonts w:ascii="Cambria" w:hAnsi="Cambria"/>
                <w:b w:val="false"/>
                <w:sz w:val="24"/>
              </w:rPr>
              <w:t>Expertul verifică informațiile conținute ı̂n cadrul Cererii de Finanta̦re și ı̂n cadrul documentației tehnice a proiectului și în cazul ı̂n care identifică ı̂n cadrul acțiunilor propuse prin proiect servicii / activități / investiții / tehnologii /procese inovatoare (exemplu: albume digitale, trasee turistice digitale, hărți digitale, evenimente multiculturale în teritoriu, ateliere de lucru pentru transfer de cunoștințe, ș.a.), se vor acorda 10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CD GAL</w:t>
            </w:r>
          </w:p>
        </w:tc>
        <w:tc>
          <w:tcPr>
            <w:shd w:val="clear" w:color="auto" w:fill="F8ECD2"/>
            <w:vAlign w:val="center"/>
          </w:tcPr>
          <w:p>
            <w:r>
              <w:rPr>
                <w:rFonts w:ascii="Cambria" w:hAnsi="Cambria"/>
                <w:b w:val="false"/>
                <w:color w:val="58400C"/>
                <w:sz w:val="24"/>
              </w:rPr>
              <w:t>Valoarea eligibilă a 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care obțin același punctaj general ı̂n urma evaluării,se prioritizeaza proiectele cu valoarea eligibila mai mică.Departajarea se va face în ordine crescătoare a valorii eligibile (valoareamai mică are prioritate).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CD GAL</w:t>
            </w:r>
          </w:p>
        </w:tc>
        <w:tc>
          <w:tcPr>
            <w:shd w:val="clear" w:color="auto" w:fill="F8ECD2"/>
            <w:vAlign w:val="center"/>
          </w:tcPr>
          <w:p>
            <w:r>
              <w:rPr>
                <w:rFonts w:ascii="Cambria" w:hAnsi="Cambria"/>
                <w:b w:val="false"/>
                <w:color w:val="58400C"/>
                <w:sz w:val="24"/>
              </w:rPr>
              <w:t>Impactul estimat asupra comunității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după aplicarea primului criteriu de departajare,se va aplica următorul criteriu:Prioritizarea proiectelor la care numărul de persoane care beneficiazăde investiția propusă este mai mare.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CD GAL</w:t>
            </w:r>
          </w:p>
        </w:tc>
        <w:tc>
          <w:tcPr>
            <w:shd w:val="clear" w:color="auto" w:fill="F8ECD2"/>
            <w:vAlign w:val="center"/>
          </w:tcPr>
          <w:p>
            <w:r>
              <w:rPr>
                <w:rFonts w:ascii="Cambria" w:hAnsi="Cambria"/>
                <w:b w:val="false"/>
                <w:color w:val="58400C"/>
                <w:sz w:val="24"/>
              </w:rPr>
              <w:t>Data și ora înscrierii în program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după aplicarea primelor două criterii dedepartajare, se va aplica următorul criteriu:Prioritizarea proiectelor depuse cel mai devreme.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ed1322ee5ba04a97" /><Relationship Type="http://schemas.openxmlformats.org/officeDocument/2006/relationships/numbering" Target="/word/numbering.xml" Id="Rd754c06caeac40ff" /></Relationships>
</file>